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B类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穗妇函〔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2020〕21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广州市妇女联合会关于政协第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</w:rPr>
        <w:t>十三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广州市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委员会第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次会议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5003号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提案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主办意见的函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简瑞燕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您提出的《关于促进广州市家庭教育工作的提案》（第5003号）收悉。我会高度重视，与市文明办、市教育局、市民政局、市文化广电旅游局、市卫生健康委、市科协、市委老干部局、市社会组织管理局进行认</w:t>
      </w:r>
      <w:r>
        <w:rPr>
          <w:rFonts w:hint="eastAsia" w:ascii="仿宋_GB2312" w:hAnsi="仿宋_GB2312" w:eastAsia="仿宋_GB2312" w:cs="仿宋_GB2312"/>
          <w:sz w:val="32"/>
          <w:szCs w:val="32"/>
        </w:rPr>
        <w:t>真研究办理，经综合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会办单位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意见，现将有关办理情况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一、关于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加快家庭教育立法，完善顶层设计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2016年底，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广州</w:t>
      </w:r>
      <w:r>
        <w:rPr>
          <w:rFonts w:hint="eastAsia" w:ascii="仿宋_GB2312" w:hAnsi="黑体" w:eastAsia="仿宋_GB2312"/>
          <w:sz w:val="32"/>
          <w:szCs w:val="32"/>
        </w:rPr>
        <w:t>市教育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局、妇联等部门</w:t>
      </w:r>
      <w:r>
        <w:rPr>
          <w:rFonts w:hint="eastAsia" w:ascii="仿宋_GB2312" w:hAnsi="黑体" w:eastAsia="仿宋_GB2312"/>
          <w:sz w:val="32"/>
          <w:szCs w:val="32"/>
        </w:rPr>
        <w:t>先后参与了教育部、全国妇联以及中国教育学会的家庭教育立法研究，努力推动广州市家庭教育地方立法。实地调研考察我国台湾地区、重庆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、贵州</w:t>
      </w:r>
      <w:r>
        <w:rPr>
          <w:rFonts w:hint="eastAsia" w:ascii="仿宋_GB2312" w:hAnsi="黑体" w:eastAsia="仿宋_GB2312"/>
          <w:sz w:val="32"/>
          <w:szCs w:val="32"/>
        </w:rPr>
        <w:t>等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地的</w:t>
      </w:r>
      <w:r>
        <w:rPr>
          <w:rFonts w:hint="eastAsia" w:ascii="仿宋_GB2312" w:hAnsi="黑体" w:eastAsia="仿宋_GB2312"/>
          <w:sz w:val="32"/>
          <w:szCs w:val="32"/>
        </w:rPr>
        <w:t>家庭教育地方立法的基本情况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，并</w:t>
      </w:r>
      <w:r>
        <w:rPr>
          <w:rFonts w:hint="eastAsia" w:ascii="仿宋_GB2312" w:hAnsi="黑体" w:eastAsia="仿宋_GB2312"/>
          <w:sz w:val="32"/>
          <w:szCs w:val="32"/>
        </w:rPr>
        <w:t>通过专家座谈和论证会的形式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分主题对相关焦点问题进行深入研讨和论证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分别对家长、公众、家长学校、学校开展家庭教育立法问卷调查，</w:t>
      </w:r>
      <w:r>
        <w:rPr>
          <w:rFonts w:hint="eastAsia" w:ascii="仿宋_GB2312" w:eastAsia="仿宋_GB2312"/>
          <w:color w:val="000000"/>
          <w:sz w:val="32"/>
          <w:szCs w:val="32"/>
        </w:rPr>
        <w:t>利用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大数据对广州家庭教育立法的相关数据、舆情、法律事实等进行深度分析调研，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形成《广州市家庭教育立法数据分析报告》《广州市家庭教育立法舆情分析报告》《广州市家庭教育立法调研分析报告》三份翔实的专题分析报告，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为接下来的立法文本的撰写提供坚实的数据和材料支撑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为下一步广州推进家庭教育地方立法打下坚实基础。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6月，全国人大常委会在全国范围内进行《中华人民共和国家庭教育法（草案征求意见稿）》意见征求，市妇联会同市各相关部门意见后及时将意见反馈给上级部门；9月，全国人大常委会就《中华人民共和国家庭教育法》到广东调研，并听取了省、市的相关意见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，将密切与省沟通联系，及时掌握《中华人民共和国家庭教育法》的后续动态，同步做好我市贯彻落实该法的实施意见细则的研究。待国家上位法颁发后，能够及时配套出台我市的实施意见，让广州的家庭教育更凸显本地实情和特色，工作推进更加顺畅，家庭教育成果更加显著。同时，结合广州实际，探索起草《广州市学校安全管理条例》并纳入2021年广州市人大常委会立法工作计划正式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二、关于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建立标准体系，提升家庭教育专业化水平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default" w:ascii="仿宋_GB2312" w:hAnsi="黑体" w:eastAsia="仿宋_GB2312"/>
          <w:sz w:val="32"/>
          <w:szCs w:val="32"/>
          <w:lang w:val="en-US"/>
        </w:rPr>
        <w:t>专门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编撰了《广州市家长学校建设指导手册》，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制定了《广州市学校家庭教育三年行动计划》，发布《学校家庭教育工作要点》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，修订《广州市家长学校教学大纲》《广州市中小学家长学校教材》，</w:t>
      </w:r>
      <w:r>
        <w:rPr>
          <w:rFonts w:hint="default" w:ascii="仿宋_GB2312" w:hAnsi="黑体" w:eastAsia="仿宋_GB2312"/>
          <w:sz w:val="32"/>
          <w:szCs w:val="32"/>
        </w:rPr>
        <w:t>使幼儿园、中小学、中职学校和社区等全市各类家长学校建设均有标准</w:t>
      </w:r>
      <w:r>
        <w:rPr>
          <w:rFonts w:hint="default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default" w:ascii="仿宋_GB2312" w:hAnsi="黑体" w:eastAsia="仿宋_GB2312"/>
          <w:sz w:val="32"/>
          <w:szCs w:val="32"/>
        </w:rPr>
        <w:t>规范指引</w:t>
      </w:r>
      <w:r>
        <w:rPr>
          <w:rFonts w:hint="default" w:ascii="仿宋_GB2312" w:hAnsi="黑体" w:eastAsia="仿宋_GB2312"/>
          <w:sz w:val="32"/>
          <w:szCs w:val="32"/>
          <w:lang w:eastAsia="zh-CN"/>
        </w:rPr>
        <w:t>和内容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，科学有序指导我市家长学校和家庭教育工作。</w:t>
      </w:r>
      <w:r>
        <w:rPr>
          <w:rFonts w:hint="eastAsia" w:ascii="仿宋_GB2312" w:hAnsi="黑体" w:eastAsia="仿宋_GB2312"/>
          <w:sz w:val="32"/>
          <w:szCs w:val="32"/>
        </w:rPr>
        <w:t>每年立项一批家庭教育研究课题。2017年，广州市中小学德育研究与指导中心当年立项课题95项，其中涉及学校家庭教育工作课题29项。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2014年—2017年，每年编辑整理一本《广州市示范家长学校成果经验集》，里面共收集全市示范家长学校的成果经验材料120篇</w:t>
      </w:r>
      <w:r>
        <w:rPr>
          <w:rFonts w:hint="default" w:ascii="仿宋_GB2312" w:hAnsi="黑体" w:eastAsia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016-2017年，每年支持15所学校开展家庭教育特色项目研究。2017年5月，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又</w:t>
      </w:r>
      <w:r>
        <w:rPr>
          <w:rFonts w:hint="eastAsia" w:ascii="仿宋_GB2312" w:hAnsi="黑体" w:eastAsia="仿宋_GB2312"/>
          <w:sz w:val="32"/>
          <w:szCs w:val="32"/>
        </w:rPr>
        <w:t>建立了26个家庭教育实践基地，制定了《广州市家庭教育实践基地管理办法》。这些基地从校本实际出发，针对热点难点问题，研究和探讨家庭教育理论和实践问题。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各职能部门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围绕提升家庭教育专业化水平，从学校、社区等不同领域探索研究家庭教育标准体系建构；加强与高校的沟通联系，依托高校开展家庭教育理论研究，并积极助推高校设置家庭教育相关课程或专业，进一步提升我市家庭教育专业化、标准化水平。依据日后实施的《中华人民共和国家庭教育法》，进一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教育、民政、卫生健康、人力资源和社会保障等有关部门，对家庭教育服务行业的行业标准、机构设立、市场监管和行业工作者的资格认证等进行探索和规范，全面提升家庭教育服务行业服务水准。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三、关于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整合各方资源，强化依托社区实效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立了“党委领导、政府负责、妇联和教育牵头、部门协作、家长参与、社区和学校组织、社会支持”的家庭教育工作机制，妇联组织、教育部门分别负责社区家长学校、学校家长学校建设，市妇联、市教育局等八部门联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制发了《广州市关于推进家庭教育工作的指导意见》，统筹指导“十三五”期间的广州家庭教育工作。通过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“四个依托”整合公共资源，即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依托社工站、家庭综合服务中心、党群服务中心、学校等实体机构，建设家长学校。依托社工服务站构建“关工、社工、义工”三工联动服务机制，把具有丰富青少年教育经验的关工、具备专业服务技能的社工、拥有公益爱心的义工等力量有机整合起来，开展教育家庭教育活动；依托社会组织的专业力量，加大政府采购力度，为广大家庭提供专业化家庭教育指导服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下一步，将继续深化社区家长学校作用，充分借助街道党群服务中心、社区服务站等各类阵地，将家庭教育融入各阵地的活动项目中，推动家庭教育在社区普及。积极推动将家庭教育纳入基本公共服务范畴，参照医疗、文化的模式解决基层开展家庭教育工作的经费问题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四、关于创新制度机制，突出家长主体作用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坚持抓住家长在家庭教育中的主体位置，按照线上线下结合、市区同步推进、宣传灵活多样的思路，编辑出版《好家教成就好家风》《流动留守儿童安全知识读本》《广州市示范家长学校经验集》等系列家庭教育书系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市卫健委的“家庭科学育儿第一课”网络课程首次网络直播点击量就达到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50余万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，市文明办、市教育局、市妇联于疫情期间推出的“新时代文明实践之家长学校”系列直播在线课程，受众累计达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800万，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确保家长有物可学、有地可学、学有所得，不断提高家长家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庭教育专业水平。</w:t>
      </w:r>
      <w:r>
        <w:rPr>
          <w:rFonts w:hint="eastAsia" w:ascii="仿宋_GB2312" w:hAnsi="黑体" w:eastAsia="仿宋_GB2312"/>
          <w:sz w:val="32"/>
          <w:szCs w:val="32"/>
        </w:rPr>
        <w:t>市教育局全面推进中小学幼儿园家长委员会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建设，</w:t>
      </w:r>
      <w:r>
        <w:rPr>
          <w:rFonts w:hint="eastAsia" w:ascii="仿宋_GB2312" w:hAnsi="黑体" w:eastAsia="仿宋_GB2312"/>
          <w:sz w:val="32"/>
          <w:szCs w:val="32"/>
        </w:rPr>
        <w:t>明确家长委员会的职责与任务，规范家长委员会的组建与运作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，全市</w:t>
      </w:r>
      <w:r>
        <w:rPr>
          <w:rFonts w:hint="eastAsia" w:ascii="仿宋_GB2312" w:hAnsi="黑体" w:eastAsia="仿宋_GB2312"/>
          <w:sz w:val="32"/>
          <w:szCs w:val="32"/>
        </w:rPr>
        <w:t>中小学和幼儿园百分之百成立了家长委员会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中小学幼儿园每学期召开2次或2次以上的家长会，在此基础上，各中小学幼儿园应用网络技术，开发了校级、年级、班级的微信群和QQ群，有些学校还注册了微信公众号，拓展了家校沟通平台，促进了家校沟通。</w:t>
      </w:r>
    </w:p>
    <w:p>
      <w:pPr>
        <w:spacing w:line="600" w:lineRule="exact"/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下一步，将进一步规范家长学校运作，依据即将出台的家庭教育法强化家长的主体责任，同时加强学校家委会与家长的沟通机制，通过学校和家庭的共同努力，解决孩子们在成长过程中碰到的问题，尤其关注孩子们的心理健康，提早发现苗头，将孩子们的心理问题解决在萌芽状态，让孩子们能快乐健康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衷心感谢您对我市家庭教育工作的关心和支持，欢迎您继续对我们的工作提出宝贵意见和建议。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广州市妇女联合会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2020年11月30日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（联系人：钟军，联系电话：87386621）</w:t>
      </w:r>
    </w:p>
    <w:p>
      <w:pPr>
        <w:ind w:firstLine="640" w:firstLineChars="200"/>
        <w:rPr>
          <w:rFonts w:hint="eastAsia" w:ascii="仿宋_GB2312" w:hAnsi="Times New Roman" w:eastAsia="仿宋_GB2312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Times New Roman" w:eastAsia="仿宋_GB2312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Times New Roman" w:eastAsia="仿宋_GB2312" w:cs="宋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Times New Roman" w:eastAsia="仿宋_GB2312" w:cs="宋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Times New Roman" w:eastAsia="仿宋_GB2312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Times New Roman" w:eastAsia="仿宋_GB2312" w:cs="宋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Times New Roman" w:eastAsia="仿宋_GB2312" w:cs="宋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Times New Roman" w:eastAsia="仿宋_GB2312" w:cs="宋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Times New Roman" w:eastAsia="仿宋_GB2312" w:cs="宋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Times New Roman" w:eastAsia="仿宋_GB2312" w:cs="宋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Times New Roman" w:eastAsia="仿宋_GB2312" w:cs="宋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Times New Roman" w:eastAsia="仿宋_GB2312" w:cs="宋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Times New Roman" w:eastAsia="仿宋_GB2312" w:cs="宋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Times New Roman" w:eastAsia="仿宋_GB2312" w:cs="宋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Times New Roman" w:eastAsia="仿宋_GB2312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Times New Roman" w:eastAsia="仿宋_GB2312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Times New Roman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2"/>
          <w:lang w:val="en-US" w:eastAsia="zh-CN"/>
        </w:rPr>
        <w:t>公开方式：依申请公开</w:t>
      </w:r>
    </w:p>
    <w:p>
      <w:pPr>
        <w:ind w:left="1598" w:leftChars="304" w:hanging="960" w:hangingChars="300"/>
        <w:rPr>
          <w:rFonts w:hint="default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2"/>
          <w:lang w:val="en-US" w:eastAsia="zh-CN"/>
        </w:rPr>
        <w:t>抄送：市政协提案委，市府办公厅，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市文明办、市教育局、市民政局、市文化广电旅游局、市卫生健康委、市科协、市委老干部局、市社会组织管理局</w:t>
      </w:r>
    </w:p>
    <w:sectPr>
      <w:footerReference r:id="rId3" w:type="default"/>
      <w:pgSz w:w="11906" w:h="16838"/>
      <w:pgMar w:top="1440" w:right="1576" w:bottom="1440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Pf6E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l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BPf6E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A67E22"/>
    <w:rsid w:val="21256CB2"/>
    <w:rsid w:val="24C471CC"/>
    <w:rsid w:val="3D5509D8"/>
    <w:rsid w:val="5739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9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640" w:leftChars="200"/>
    </w:pPr>
    <w:rPr>
      <w:rFonts w:ascii="黑体" w:hAnsi="黑体" w:eastAsia="黑体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qFormat/>
    <w:uiPriority w:val="0"/>
    <w:rPr>
      <w:color w:val="555555"/>
      <w:u w:val="none"/>
    </w:rPr>
  </w:style>
  <w:style w:type="character" w:styleId="8">
    <w:name w:val="Hyperlink"/>
    <w:basedOn w:val="6"/>
    <w:qFormat/>
    <w:uiPriority w:val="0"/>
    <w:rPr>
      <w:color w:val="555555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l-btn-left2"/>
    <w:basedOn w:val="6"/>
    <w:qFormat/>
    <w:uiPriority w:val="0"/>
  </w:style>
  <w:style w:type="character" w:customStyle="1" w:styleId="12">
    <w:name w:val="l-btn-left3"/>
    <w:basedOn w:val="6"/>
    <w:qFormat/>
    <w:uiPriority w:val="0"/>
  </w:style>
  <w:style w:type="character" w:customStyle="1" w:styleId="13">
    <w:name w:val="l-btn-left4"/>
    <w:basedOn w:val="6"/>
    <w:qFormat/>
    <w:uiPriority w:val="0"/>
  </w:style>
  <w:style w:type="character" w:customStyle="1" w:styleId="14">
    <w:name w:val="target_fixed"/>
    <w:basedOn w:val="6"/>
    <w:qFormat/>
    <w:uiPriority w:val="0"/>
  </w:style>
  <w:style w:type="character" w:customStyle="1" w:styleId="15">
    <w:name w:val="l-btn-icon-left"/>
    <w:basedOn w:val="6"/>
    <w:qFormat/>
    <w:uiPriority w:val="0"/>
  </w:style>
  <w:style w:type="character" w:customStyle="1" w:styleId="16">
    <w:name w:val="l-btn-icon-right"/>
    <w:basedOn w:val="6"/>
    <w:qFormat/>
    <w:uiPriority w:val="0"/>
  </w:style>
  <w:style w:type="character" w:customStyle="1" w:styleId="17">
    <w:name w:val="on"/>
    <w:basedOn w:val="6"/>
    <w:qFormat/>
    <w:uiPriority w:val="0"/>
    <w:rPr>
      <w:vanish/>
      <w:shd w:val="clear" w:color="auto" w:fill="FFFFFF"/>
    </w:rPr>
  </w:style>
  <w:style w:type="character" w:customStyle="1" w:styleId="18">
    <w:name w:val="button"/>
    <w:basedOn w:val="6"/>
    <w:qFormat/>
    <w:uiPriority w:val="0"/>
  </w:style>
  <w:style w:type="character" w:customStyle="1" w:styleId="19">
    <w:name w:val="l-btn-text"/>
    <w:basedOn w:val="6"/>
    <w:qFormat/>
    <w:uiPriority w:val="0"/>
    <w:rPr>
      <w:sz w:val="18"/>
      <w:szCs w:val="18"/>
      <w:vertAlign w:val="baseline"/>
    </w:rPr>
  </w:style>
  <w:style w:type="character" w:customStyle="1" w:styleId="20">
    <w:name w:val="l-btn-empty"/>
    <w:basedOn w:val="6"/>
    <w:qFormat/>
    <w:uiPriority w:val="0"/>
  </w:style>
  <w:style w:type="character" w:customStyle="1" w:styleId="21">
    <w:name w:val="tmpztreemove_arrow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2566</Words>
  <Characters>2626</Characters>
  <Paragraphs>51</Paragraphs>
  <TotalTime>18</TotalTime>
  <ScaleCrop>false</ScaleCrop>
  <LinksUpToDate>false</LinksUpToDate>
  <CharactersWithSpaces>2630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2020-09-24T02:33:00Z</dcterms:created>
  <dc:creator>user</dc:creator>
  <cp:lastModifiedBy>江军辅</cp:lastModifiedBy>
  <dcterms:modified xsi:type="dcterms:W3CDTF">2020-12-02T08:02:24Z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